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8659063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青光眼引流阀采购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>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（二次）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47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"_Toc12130"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第一章 询价公告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_Toc12130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"_Toc5832"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第二章 询价响应人须知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_Toc5832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2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"_Toc4406"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 xml:space="preserve">第三章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需求及技术要求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_Toc4406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6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"_Toc9468"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第四章 合同主要条款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_Toc9468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"_Toc25006"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第五章 询价响应文件格式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_Toc25006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10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"_Toc32763"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_Toc32763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16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青光眼引流阀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（二次）</w:t>
      </w:r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hint="eastAsia" w:ascii="宋体" w:hAnsi="宋体"/>
          <w:b/>
          <w:bCs/>
          <w:kern w:val="44"/>
          <w:sz w:val="36"/>
          <w:szCs w:val="36"/>
        </w:rPr>
        <w:t>询价公告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安庆市立医院现对青光眼引流阀采购项目（项目编号：AQSLYY-20230047）进行采购，欢迎符合本项目条件要求的供应商前来报名。现将有关事宜公告如下：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1、项目概况：安庆市立医院青光眼引流阀采购项目（二次）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2、最高限价：人民币玖万元整（￥90000.00元）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2、具有医疗器械生产或经营资质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3、不接受联合体投报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632"/>
      <w:bookmarkStart w:id="10" w:name="_Toc35393801"/>
      <w:bookmarkStart w:id="11" w:name="_Toc28359015"/>
      <w:bookmarkStart w:id="12" w:name="_Toc2835909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5832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27607"/>
      <w:bookmarkStart w:id="17" w:name="_Toc128659067"/>
      <w:bookmarkStart w:id="18" w:name="_Toc128984805"/>
      <w:bookmarkStart w:id="19" w:name="_Toc16301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玖万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90000</w:t>
            </w:r>
            <w:r>
              <w:rPr>
                <w:rFonts w:ascii="宋体" w:hAnsi="宋体" w:cs="仿宋"/>
                <w:szCs w:val="21"/>
                <w:u w:val="none"/>
              </w:rPr>
              <w:t>.00</w:t>
            </w:r>
            <w:r>
              <w:rPr>
                <w:rFonts w:hint="eastAsia" w:ascii="宋体" w:hAnsi="宋体" w:cs="仿宋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两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（二次）</w:t>
            </w:r>
            <w:r>
              <w:rPr>
                <w:rFonts w:hint="eastAsia" w:ascii="宋体" w:hAnsi="宋体" w:cs="仿宋"/>
                <w:szCs w:val="21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szCs w:val="21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耗材分批供货，根据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06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4277"/>
        <w:gridCol w:w="1095"/>
        <w:gridCol w:w="1095"/>
        <w:gridCol w:w="1095"/>
        <w:gridCol w:w="10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4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预计两年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单价最高限价（元）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青光眼引流阀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适应症:专用于各类难治性青光眼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引流管（mm）：内径:0.305外径0.635 长度：25.00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阀体（mm）：厚:0.9 长16.00宽13.00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重量（g）：0.11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流量：12ul/min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压力控制：8-12mmHg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表面积：184mm2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6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响应人的响应文件必须标明所投货物的品牌与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，保证原厂正品供货，提供相关资料等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1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本次采购供货期限为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两年或采购费用总额达到本项目总成交价时，以先到者为准。</w:t>
            </w:r>
            <w:bookmarkStart w:id="65" w:name="_GoBack"/>
            <w:bookmarkEnd w:id="65"/>
          </w:p>
          <w:p>
            <w:pPr>
              <w:pStyle w:val="1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本项目须提供样品评审。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人民币玖万元整（￥90000.00元）。</w:t>
            </w:r>
          </w:p>
        </w:tc>
      </w:tr>
    </w:tbl>
    <w:p>
      <w:pPr>
        <w:pStyle w:val="18"/>
        <w:rPr>
          <w:rFonts w:hint="eastAsia"/>
          <w:lang w:eastAsia="zh-CN"/>
        </w:rPr>
      </w:pP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0" w:name="_Toc8808"/>
      <w:bookmarkStart w:id="41" w:name="_Toc211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、货物质量</w:t>
      </w:r>
      <w:bookmarkEnd w:id="40"/>
      <w:bookmarkEnd w:id="41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成交人提供的货物必须是全新、原装、合格正品，完全符合国家规定的质量标准和厂方的标准。货物完好，配件齐全。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2" w:name="_Toc466"/>
      <w:bookmarkStart w:id="43" w:name="_Toc230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、验收</w:t>
      </w:r>
      <w:bookmarkEnd w:id="42"/>
      <w:bookmarkEnd w:id="43"/>
    </w:p>
    <w:p>
      <w:pPr>
        <w:pStyle w:val="75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产品每次验收时成交人须向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提供质量检验报告书，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如为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进口产品首次验收时还需提供进口报关单、商检证及中英文说明书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4" w:name="_Toc9468"/>
      <w:bookmarkStart w:id="45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4"/>
      <w:bookmarkEnd w:id="45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46" w:name="_Toc130907299"/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（项目编号：）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2700"/>
        <w:gridCol w:w="787"/>
        <w:gridCol w:w="1043"/>
        <w:gridCol w:w="12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生产厂家、品牌、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甲方采购文件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要求，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且与乙方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一致。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二、合同期限：</w:t>
      </w:r>
    </w:p>
    <w:bookmarkEnd w:id="46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并向甲方支付违约金10000元。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的产品，必须满足两票制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，并在平台配送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价格高于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集采平台价格，乙方须主动将所供产品价格降为平台价格。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违约责任：乙方在本合同的实施过程中有违约、违法行为的，甲方有权解除或终止本合同且有权追究乙方相应的法律责任，由乙方承担由此造成的一切损失（包括但不限于诉讼费、保全费、保全担保费、律师费等)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十二、合同的解除：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合同争议解决方式：在合同履行过程中发生争议的，由双方当事人友好协商解决；协商调解不成的，向安庆仲裁委员会申请仲裁。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　　　　  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7" w:name="_Toc331685783"/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</w:tr>
      <w:bookmarkEnd w:id="47"/>
    </w:tbl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8" w:name="_Toc128984809"/>
      <w:bookmarkStart w:id="49" w:name="_Toc25006"/>
      <w:bookmarkStart w:id="50" w:name="_Toc128058647"/>
      <w:bookmarkStart w:id="51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8"/>
      <w:bookmarkEnd w:id="49"/>
      <w:bookmarkEnd w:id="50"/>
      <w:bookmarkEnd w:id="51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18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52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52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4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4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4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53" w:name="_Toc12161"/>
      <w:bookmarkStart w:id="54" w:name="_Toc7098"/>
      <w:bookmarkStart w:id="55" w:name="_Toc128984810"/>
      <w:bookmarkStart w:id="56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53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4"/>
      <w:bookmarkEnd w:id="55"/>
      <w:bookmarkEnd w:id="56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7" w:name="_Toc14554"/>
      <w:bookmarkStart w:id="58" w:name="_Toc128984812"/>
      <w:bookmarkStart w:id="59" w:name="_Toc2920"/>
      <w:bookmarkStart w:id="60" w:name="_Toc8668"/>
      <w:bookmarkStart w:id="61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7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8"/>
      <w:bookmarkEnd w:id="59"/>
      <w:bookmarkEnd w:id="60"/>
      <w:bookmarkEnd w:id="61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62" w:name="_Toc13353"/>
    </w:p>
    <w:bookmarkEnd w:id="62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63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63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7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4" w:name="_Toc32763"/>
      <w:r>
        <w:rPr>
          <w:rFonts w:hint="eastAsia"/>
          <w:sz w:val="32"/>
          <w:szCs w:val="32"/>
        </w:rPr>
        <w:t>附件</w:t>
      </w:r>
      <w:bookmarkEnd w:id="64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7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7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5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8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2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3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471941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905E92"/>
    <w:rsid w:val="10D0572A"/>
    <w:rsid w:val="12836356"/>
    <w:rsid w:val="12906DE8"/>
    <w:rsid w:val="131A721E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0B548A6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583684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16F599B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6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7">
    <w:name w:val="heading 3"/>
    <w:basedOn w:val="1"/>
    <w:next w:val="1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8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9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10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11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2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3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4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5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6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7">
    <w:name w:val="List Number"/>
    <w:basedOn w:val="18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8">
    <w:name w:val="Normal Indent"/>
    <w:basedOn w:val="1"/>
    <w:qFormat/>
    <w:uiPriority w:val="0"/>
    <w:pPr>
      <w:ind w:firstLine="420"/>
    </w:pPr>
    <w:rPr>
      <w:szCs w:val="20"/>
    </w:rPr>
  </w:style>
  <w:style w:type="paragraph" w:styleId="19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20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21">
    <w:name w:val="Document Map"/>
    <w:basedOn w:val="1"/>
    <w:qFormat/>
    <w:uiPriority w:val="0"/>
    <w:pPr>
      <w:shd w:val="clear" w:color="auto" w:fill="000080"/>
    </w:pPr>
  </w:style>
  <w:style w:type="paragraph" w:styleId="22">
    <w:name w:val="annotation text"/>
    <w:basedOn w:val="1"/>
    <w:link w:val="80"/>
    <w:qFormat/>
    <w:uiPriority w:val="0"/>
    <w:pPr>
      <w:jc w:val="left"/>
    </w:pPr>
  </w:style>
  <w:style w:type="paragraph" w:styleId="23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5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6">
    <w:name w:val="Body Text"/>
    <w:basedOn w:val="1"/>
    <w:next w:val="27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8">
    <w:name w:val="List 2"/>
    <w:basedOn w:val="1"/>
    <w:qFormat/>
    <w:uiPriority w:val="0"/>
    <w:pPr>
      <w:ind w:left="100" w:leftChars="200" w:hanging="200" w:hangingChars="200"/>
    </w:pPr>
  </w:style>
  <w:style w:type="paragraph" w:styleId="29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30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1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3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4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5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6">
    <w:name w:val="Date"/>
    <w:basedOn w:val="1"/>
    <w:next w:val="1"/>
    <w:qFormat/>
    <w:uiPriority w:val="0"/>
    <w:rPr>
      <w:sz w:val="44"/>
      <w:szCs w:val="20"/>
    </w:rPr>
  </w:style>
  <w:style w:type="paragraph" w:styleId="37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8">
    <w:name w:val="Balloon Text"/>
    <w:basedOn w:val="1"/>
    <w:link w:val="83"/>
    <w:qFormat/>
    <w:uiPriority w:val="0"/>
    <w:rPr>
      <w:sz w:val="18"/>
      <w:szCs w:val="18"/>
    </w:rPr>
  </w:style>
  <w:style w:type="paragraph" w:styleId="39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0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0"/>
    <w:pPr>
      <w:widowControl/>
      <w:jc w:val="left"/>
    </w:pPr>
    <w:rPr>
      <w:kern w:val="0"/>
      <w:sz w:val="24"/>
    </w:rPr>
  </w:style>
  <w:style w:type="paragraph" w:styleId="45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6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7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9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50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1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2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6">
    <w:name w:val="Body Text 2"/>
    <w:basedOn w:val="1"/>
    <w:qFormat/>
    <w:uiPriority w:val="0"/>
    <w:pPr>
      <w:spacing w:after="120" w:line="480" w:lineRule="auto"/>
    </w:pPr>
  </w:style>
  <w:style w:type="paragraph" w:styleId="57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8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60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1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2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3">
    <w:name w:val="annotation subject"/>
    <w:basedOn w:val="22"/>
    <w:next w:val="22"/>
    <w:qFormat/>
    <w:uiPriority w:val="0"/>
    <w:rPr>
      <w:b/>
      <w:bCs/>
    </w:rPr>
  </w:style>
  <w:style w:type="paragraph" w:styleId="64">
    <w:name w:val="Body Text First Indent"/>
    <w:basedOn w:val="26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5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6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7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22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3"/>
    <w:qFormat/>
    <w:uiPriority w:val="39"/>
    <w:rPr>
      <w:i/>
      <w:iCs/>
      <w:kern w:val="2"/>
    </w:rPr>
  </w:style>
  <w:style w:type="character" w:customStyle="1" w:styleId="82">
    <w:name w:val="纯文本 字符"/>
    <w:link w:val="34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8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9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4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8"/>
    <w:next w:val="64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6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4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9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7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7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8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5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3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10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18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18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7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6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6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6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7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6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5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5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2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7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7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7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6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4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6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11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50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6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9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8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6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4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18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8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6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8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6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6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5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5281</Words>
  <Characters>5494</Characters>
  <Lines>44</Lines>
  <Paragraphs>12</Paragraphs>
  <TotalTime>50</TotalTime>
  <ScaleCrop>false</ScaleCrop>
  <LinksUpToDate>false</LinksUpToDate>
  <CharactersWithSpaces>6822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2023-03-06T03:44:00Z</cp:lastPrinted>
  <dcterms:modified xsi:type="dcterms:W3CDTF">2023-06-28T00:54:06Z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3D1EE88A69D54D37BE454E8AF7E5926F_13</vt:lpwstr>
  </property>
</Properties>
</file>