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542528"/>
      <w:bookmarkStart w:id="1" w:name="_Toc127455282"/>
      <w:bookmarkStart w:id="2" w:name="_Toc128659063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jc w:val="both"/>
        <w:rPr>
          <w:rFonts w:hint="default" w:ascii="仿宋" w:hAnsi="仿宋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床上用品</w:t>
      </w:r>
      <w:r>
        <w:rPr>
          <w:rFonts w:hint="eastAsia" w:ascii="宋体" w:hAnsi="宋体" w:cs="方正公文小标宋"/>
          <w:sz w:val="28"/>
          <w:szCs w:val="28"/>
          <w:u w:val="single"/>
        </w:rPr>
        <w:t>采购项目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bookmarkStart w:id="3" w:name="_Toc12698"/>
      <w:r>
        <w:rPr>
          <w:sz w:val="32"/>
          <w:szCs w:val="32"/>
        </w:rPr>
        <w:t>目录</w:t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6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床上用品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安庆市立医院现对</w:t>
      </w:r>
      <w:r>
        <w:rPr>
          <w:rFonts w:hint="eastAsia" w:ascii="仿宋" w:hAnsi="仿宋" w:eastAsia="仿宋"/>
          <w:sz w:val="28"/>
          <w:szCs w:val="28"/>
          <w:lang w:eastAsia="zh-CN"/>
        </w:rPr>
        <w:t>床上用品</w:t>
      </w:r>
      <w:r>
        <w:rPr>
          <w:rFonts w:hint="eastAsia" w:ascii="仿宋" w:hAnsi="仿宋" w:eastAsia="仿宋"/>
          <w:sz w:val="28"/>
          <w:szCs w:val="28"/>
        </w:rPr>
        <w:t>项目（项目编号：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进行采购，欢迎符合本项目条件要求的供应商前来报名。现将有关事宜公告如下：</w:t>
      </w:r>
    </w:p>
    <w:p>
      <w:pPr>
        <w:spacing w:line="30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1、项目概况：</w:t>
      </w:r>
      <w:r>
        <w:rPr>
          <w:rFonts w:hint="eastAsia" w:ascii="仿宋" w:hAnsi="仿宋" w:eastAsia="仿宋"/>
          <w:sz w:val="28"/>
          <w:szCs w:val="28"/>
        </w:rPr>
        <w:t>安庆市立医院</w:t>
      </w:r>
      <w:r>
        <w:rPr>
          <w:rFonts w:hint="eastAsia" w:ascii="仿宋" w:hAnsi="仿宋" w:eastAsia="仿宋"/>
          <w:sz w:val="28"/>
          <w:szCs w:val="28"/>
          <w:lang w:eastAsia="zh-CN"/>
        </w:rPr>
        <w:t>床上用品采购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2、最高限价：</w:t>
      </w:r>
      <w:r>
        <w:rPr>
          <w:rFonts w:hint="eastAsia" w:ascii="仿宋" w:hAnsi="仿宋" w:eastAsia="仿宋"/>
          <w:sz w:val="28"/>
          <w:szCs w:val="28"/>
        </w:rPr>
        <w:t>人民币</w:t>
      </w:r>
      <w:r>
        <w:rPr>
          <w:rFonts w:hint="eastAsia" w:ascii="仿宋" w:hAnsi="仿宋" w:eastAsia="仿宋"/>
          <w:sz w:val="28"/>
          <w:szCs w:val="28"/>
          <w:lang w:eastAsia="zh-CN"/>
        </w:rPr>
        <w:t>捌</w:t>
      </w:r>
      <w:r>
        <w:rPr>
          <w:rFonts w:hint="eastAsia" w:ascii="仿宋" w:hAnsi="仿宋" w:eastAsia="仿宋"/>
          <w:sz w:val="28"/>
          <w:szCs w:val="28"/>
        </w:rPr>
        <w:t>万</w:t>
      </w:r>
      <w:r>
        <w:rPr>
          <w:rFonts w:hint="eastAsia" w:ascii="仿宋" w:hAnsi="仿宋" w:eastAsia="仿宋"/>
          <w:sz w:val="28"/>
          <w:szCs w:val="28"/>
          <w:lang w:eastAsia="zh-CN"/>
        </w:rPr>
        <w:t>伍仟</w:t>
      </w:r>
      <w:r>
        <w:rPr>
          <w:rFonts w:hint="eastAsia" w:ascii="仿宋" w:hAnsi="仿宋" w:eastAsia="仿宋"/>
          <w:sz w:val="28"/>
          <w:szCs w:val="28"/>
        </w:rPr>
        <w:t>元整（￥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000.00元）。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期限：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1年或采购费用总额达到本项目总成交价时，以先到者为准</w:t>
      </w: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spacing w:line="300" w:lineRule="auto"/>
        <w:ind w:left="562" w:hanging="562" w:hanging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具有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合法有效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，具有履行合同所必需的产品和专业技术能力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、本项目不接受联合体。</w:t>
      </w:r>
    </w:p>
    <w:p>
      <w:pPr>
        <w:spacing w:line="300" w:lineRule="auto"/>
        <w:ind w:left="562" w:hanging="562" w:hanging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日下午17:00。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四、报名方式：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snapToGrid w:val="0"/>
        <w:spacing w:line="300" w:lineRule="auto"/>
        <w:ind w:left="420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五、获取采购文件：</w:t>
      </w: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</w:t>
      </w:r>
      <w:bookmarkStart w:id="9" w:name="_Toc28359092"/>
      <w:bookmarkStart w:id="10" w:name="_Toc35393801"/>
      <w:bookmarkStart w:id="11" w:name="_Toc35393632"/>
      <w:bookmarkStart w:id="12" w:name="_Toc28359015"/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徐老师</w:t>
      </w:r>
      <w:bookmarkStart w:id="59" w:name="_GoBack"/>
      <w:bookmarkEnd w:id="59"/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128058644"/>
      <w:bookmarkStart w:id="15" w:name="_Toc5832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659067"/>
      <w:bookmarkStart w:id="17" w:name="_Toc128984805"/>
      <w:bookmarkStart w:id="18" w:name="_Toc16301"/>
      <w:bookmarkStart w:id="19" w:name="_Toc2760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</w:t>
            </w:r>
            <w:r>
              <w:rPr>
                <w:rFonts w:ascii="宋体" w:hAnsi="宋体" w:cs="仿宋"/>
                <w:szCs w:val="21"/>
              </w:rPr>
              <w:t>W-2023000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床上用品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  <w:u w:val="single"/>
                <w:lang w:eastAsia="zh-CN"/>
              </w:rPr>
              <w:t>捌</w:t>
            </w:r>
            <w:r>
              <w:rPr>
                <w:rFonts w:hint="eastAsia" w:ascii="宋体" w:hAnsi="宋体" w:cs="仿宋"/>
                <w:szCs w:val="21"/>
                <w:u w:val="single"/>
              </w:rPr>
              <w:t>万</w:t>
            </w:r>
            <w:r>
              <w:rPr>
                <w:rFonts w:hint="eastAsia" w:ascii="宋体" w:hAnsi="宋体" w:cs="仿宋"/>
                <w:szCs w:val="21"/>
                <w:u w:val="single"/>
                <w:lang w:eastAsia="zh-CN"/>
              </w:rPr>
              <w:t>伍仟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  <w:u w:val="single"/>
                <w:lang w:val="en-US" w:eastAsia="zh-CN"/>
              </w:rPr>
              <w:t>85</w:t>
            </w:r>
            <w:r>
              <w:rPr>
                <w:rFonts w:ascii="宋体" w:hAnsi="宋体" w:cs="仿宋"/>
                <w:szCs w:val="21"/>
                <w:u w:val="single"/>
              </w:rPr>
              <w:t>000.00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床上用品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符合性评审的最低评标价法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1、本项目款项按季结算，</w:t>
            </w:r>
            <w:r>
              <w:rPr>
                <w:rFonts w:hint="eastAsia" w:ascii="宋体" w:hAnsi="宋体" w:cs="仿宋"/>
                <w:szCs w:val="21"/>
              </w:rPr>
              <w:t>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验收合格后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支付上季度货款。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付款前，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应向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开具等额有效的增值税发票，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未收到发票的，有权不予支付相应款项直至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成交人</w:t>
            </w:r>
            <w:r>
              <w:rPr>
                <w:rFonts w:hint="eastAsia" w:ascii="宋体" w:hAnsi="宋体" w:cs="仿宋"/>
                <w:szCs w:val="21"/>
              </w:rPr>
              <w:t>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本询价文件的解释权归采购人。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659068"/>
      <w:bookmarkStart w:id="23" w:name="_Toc128984806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1、询价文件的构成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2、询价文件的修改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询价响应人的报价应包含满足本次采购需求的所有费用（包括但不限于：人工费、材料费、交通费、培训费、印刷费、管理费、保险、税金等）。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4、踏勘现场：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5、询价响应文件的编制和提交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5.2供应商应提供纸质A4版壹份正本两份副本询价响应文件。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6、询价程序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6.1.2询价响应人现场签到；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本次询价采用符合性评审的最低评标价法。</w:t>
      </w:r>
      <w:r>
        <w:rPr>
          <w:rFonts w:hint="eastAsia" w:ascii="仿宋" w:hAnsi="仿宋" w:eastAsia="仿宋"/>
          <w:sz w:val="28"/>
          <w:szCs w:val="28"/>
        </w:rPr>
        <w:t>以报价为主要因素确定成交候选供应商，即在全部满足询价文件实质性要求（包含</w:t>
      </w:r>
      <w:r>
        <w:rPr>
          <w:rFonts w:hint="eastAsia" w:ascii="仿宋" w:hAnsi="仿宋" w:eastAsia="仿宋"/>
          <w:sz w:val="28"/>
          <w:szCs w:val="28"/>
          <w:lang w:eastAsia="zh-CN"/>
        </w:rPr>
        <w:t>样品、</w:t>
      </w:r>
      <w:r>
        <w:rPr>
          <w:rFonts w:hint="eastAsia" w:ascii="仿宋" w:hAnsi="仿宋" w:eastAsia="仿宋"/>
          <w:sz w:val="28"/>
          <w:szCs w:val="28"/>
        </w:rPr>
        <w:t>资格条件、采购内容、付款方式、</w:t>
      </w:r>
      <w:r>
        <w:rPr>
          <w:rFonts w:hint="eastAsia" w:ascii="仿宋" w:hAnsi="仿宋" w:eastAsia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/>
          <w:sz w:val="28"/>
          <w:szCs w:val="28"/>
        </w:rPr>
        <w:t>需求及技术要求、项目完成期等）前提下，</w:t>
      </w:r>
      <w:r>
        <w:rPr>
          <w:rFonts w:hint="eastAsia" w:ascii="仿宋" w:hAnsi="仿宋" w:eastAsia="仿宋"/>
          <w:sz w:val="28"/>
          <w:szCs w:val="28"/>
          <w:lang w:eastAsia="zh-CN"/>
        </w:rPr>
        <w:t>报价最低的为第一</w:t>
      </w:r>
      <w:r>
        <w:rPr>
          <w:rFonts w:hint="eastAsia" w:ascii="仿宋" w:hAnsi="仿宋" w:eastAsia="仿宋"/>
          <w:sz w:val="28"/>
          <w:szCs w:val="28"/>
        </w:rPr>
        <w:t>成交候选供应商。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（1）样品评审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）询价响应文件评审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小组现场开启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通过样品评审的供应商的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询价响应文件；询价响应文件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评审通过后，</w:t>
      </w:r>
      <w:r>
        <w:rPr>
          <w:rFonts w:hint="eastAsia" w:ascii="仿宋" w:hAnsi="仿宋" w:eastAsia="仿宋"/>
          <w:sz w:val="28"/>
          <w:szCs w:val="28"/>
        </w:rPr>
        <w:t>根据各家报价由低到高排出成交候选供应商</w:t>
      </w:r>
      <w:r>
        <w:rPr>
          <w:rFonts w:hint="eastAsia" w:ascii="仿宋" w:hAnsi="仿宋" w:eastAsia="仿宋"/>
          <w:sz w:val="28"/>
          <w:szCs w:val="28"/>
          <w:lang w:eastAsia="zh-CN"/>
        </w:rPr>
        <w:t>，报价最低的为第一成交候选人，以此类推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2" w:hanging="562" w:hanging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7、询价响应文件的有效性</w:t>
      </w:r>
    </w:p>
    <w:p>
      <w:pPr>
        <w:pStyle w:val="7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7.3除非特别要求，每个项目（或每个包）只允许有一个方案、一个报价。多方案、多报价的询价响应文件将视为无效询价响应文件。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hanging="562" w:hanging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8、中选结果公示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9、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2" w:hanging="562" w:hangingChars="200"/>
        <w:rPr>
          <w:rFonts w:hint="eastAsia" w:ascii="仿宋" w:hAnsi="仿宋" w:eastAsia="仿宋"/>
          <w:b/>
          <w:bCs/>
          <w:sz w:val="28"/>
          <w:szCs w:val="28"/>
        </w:rPr>
      </w:pPr>
      <w:bookmarkStart w:id="36" w:name="_Toc28001"/>
      <w:bookmarkStart w:id="37" w:name="_Toc24273"/>
      <w:bookmarkStart w:id="38" w:name="_Toc128058646"/>
      <w:bookmarkStart w:id="39" w:name="_Toc20302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</w:p>
    <w:tbl>
      <w:tblPr>
        <w:tblStyle w:val="6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23"/>
        <w:gridCol w:w="989"/>
        <w:gridCol w:w="672"/>
        <w:gridCol w:w="856"/>
        <w:gridCol w:w="4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品种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规格（m）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预计使用量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棉絮（盖）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≥6.5斤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1、外观质量：乳白浅黄，亮，纤维蓬松均匀，弹性好、铺棉均匀，厚薄一致，包边一致四边平直、无塌边，两头包边面纱≥15cm；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工艺要求：面纱每面各三层，分竖纱一层，左右斜纱各一层，每10cm长度范围内竖纱、左右斜纱各不少于13道。3根以上的并纱不超过3处，缺纱小于2%。每面竖筋等距离分配不少于11道，左右斜筋各不少于15道，竖筋、左右斜筋每道用纱不少于2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3、产品规格：重量≥6.5斤，尺寸2.1m×1.55m，外套均采用40纱支纯棉布；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4、包装每5床一包。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棉絮（垫）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2*1.0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1、外观质量：乳白浅黄，亮，纤维蓬松均匀，弹性好、铺棉均匀，厚薄一致，包边一致四边平直、无塌边，两头包边面纱≥15cm；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工艺要求：面纱每面各三层，分竖纱一层，左右斜纱各一层，每10cm长度范围内竖纱、左右斜纱各不少于13道。3根以上的并纱不超过3处，缺纱小于2%。每面竖筋等距离分配不少于11道，左右斜筋各不少于15道，竖筋、左右斜筋每道用纱不少于2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3、产品规格：重量≥5斤，尺寸2.0m×1.0m，外套均采用40纱支纯棉布。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4、包装每5床一包。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夏凉被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≥2斤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1、面料采用纯棉40纱支，环保印花，花色需征求采购人认可；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2、填充物为九孔高支仿丝棉≥200g/㎡，环保、无污染、无异味、无杂质，铺棉均匀，绗制成小菱型格子；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3、产品规格：重量≥2斤，尺寸2.1m×1.55m；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4、包装每10床一包。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太空被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≥3.5斤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1、面料采用纯棉40纱支，环保印花，花色需征求采购人认可；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2、填充物为九孔高支仿丝棉≥200g/㎡，环保、无污染、无异味、无杂质，铺棉均匀，绗制成小菱型格子；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3、产品规格：重量≥3.5斤，尺寸2.1m×1.55m；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4、包装每10床一包。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太空被（透析室）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2.1*1.0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≥3斤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1、面料采用纯棉40纱支，环保印花，花色需征求采购人认可；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2、填充物为九孔高支仿丝棉≥200g/㎡，环保、无污染、无异味、无杂质，铺棉均匀，绗制成小菱型格子；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3、产品规格：重量≥3斤，尺寸2.0m×1.0m；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4、包装每10床一包。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枕芯（太空棉）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0.4*0.7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≥1.2斤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863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1、面料采210T白布，环保、质量与现用产品一致或高于现用产品；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2、填充物为九孔羽丝棉，环保、无污染、无异味、无杂质，充棉均匀，热压缩包装；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3、产品规格：重量≥1.2斤，尺寸0.4m×0.7m，印字；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4、包装每10个一包。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婴儿被（太空棉）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1.2*1.1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≥2.5斤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1、面料采用纯棉40纱支、环保天蓝色，花色需征求采购人认可；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2、婴儿被填充物为九孔高支仿丝棉≥200g/㎡，婴儿被绗制成8块格子；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3、产品规格：重量≥2.5斤，尺寸1.2m×1.1m；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4、包装每5床一包。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一、以上货物需满足下列标准：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1、执行标准：GB 18383-2007《絮用纤维制品通用技术要求》及GB/T 35932-2018《梳棉胎》；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2、原材料棉花：原棉颜色级至少为21级（符合GB1103.1-2012的规定），纤维含量100％棉；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3、原材料棉纱：网纱32支棉纱纤维含量100％棉（线密度允差不超过±10%）；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4、质量要求：含杂率≤1.0、短纤率≤15、研磨率≥90；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5、响应人须提供市级（含市级）以上纤维检验合格报告复印件并加盖响应人公章。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6、提供的货物必须完全符合国家规定的质量标准和相关行业标准，均为厂家全新、原装、正宗产品，均需印“安庆市立医院”字样。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二、质保期：质保期一年，自验收合格之日起。质保期内，如因产品未达到合同要求，成交人无条件更换。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使用量：以上采购量为1年预计使用量，实际采购品种和采购量以采购人需求及通知为准，采购人无法预计也无法保证成交人在服务期内所将获得的业务量，成交人自负盈亏。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本次采购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最高限价：人民币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万伍仟元整（￥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5000.00元）。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、采购期限：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或采购费用总额达到本项目总成交价时，以先到者为准。如合同到期，采购人新一轮采购未完成，成交人仍按合同价格供货，不得以任何理由提出涨价要求，直至采购人新一轮采购结束后。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采购计划进行供货，不允许超计划供货，超出计划的品种，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不予验收入库，由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无条件带回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。所供货物严格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要求送至指定地点，并负责运输、上架，摆放整齐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运输费用及运输途中的风险由成交人自行承担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零星采购保证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随要随送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送货时间原则上不得超过2个工作日。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（2）成交人须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确保货源供应充足、保证按时足额供货，不得出现因产品价格上涨等原因而不供货或少供货的现象。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验收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货物送达采购人指定的地点后，由双方工作人员按送货单进行初步的检货验收和签名确认。初检仅代表采购人收到成交人送达货物的数量，并不代表采购人已经认可成交人货物的质量。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0" w:leftChars="0"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样品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验收的依据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样品不计入采购数量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本项目在验收时如发现货物不符合合同的约定，或产品使用中影响使用的，采购人有权无条件退货。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）如发现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以次充好、不按时供货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造成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使用科室投诉或者违反合同任何约定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，每发现一次扣罚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500元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影响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正常医疗秩序的，每发现一次扣罚1000元；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累计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发现三次以上情况的，采购人有权单方面终止或解除合同；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因质量不合格等由乙方问题导致采购人遭受损失的，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追究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相应的法律责任，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并附带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承担由此造成的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损失（包括但不限于诉讼费、保全费、保全担保费、律师费等）。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必须有完善的售后服务体系，指派专人负责后期相关服务，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时提供一名联系人员姓名、联系方式。同时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所有通知均可以向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发布，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收到视为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收悉。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128984808"/>
      <w:bookmarkStart w:id="41" w:name="_Toc946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根据《中华人民共和国民法典》及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（项目名称）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的询价文件、询价响应文件等，甲、乙双方经协商一致，签订如下合同条款，并共同遵守。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3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文件要求，其次与成交单位的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响应文件一致。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二、售后服务：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三、交货、安装、调试期/服务期限：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四、交货地点：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五、验　　收：</w:t>
      </w:r>
      <w:r>
        <w:rPr>
          <w:rFonts w:hint="eastAsia" w:ascii="宋体" w:hAnsi="宋体" w:cs="宋体"/>
          <w:bCs/>
          <w:color w:val="000000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六、付款方式：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tabs>
          <w:tab w:val="left" w:pos="3640"/>
        </w:tabs>
        <w:autoSpaceDE w:val="0"/>
        <w:autoSpaceDN w:val="0"/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1、甲方无正当理由拒绝接受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3、乙方不能提供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‰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4、乙方逾期提供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bCs/>
          <w:sz w:val="28"/>
          <w:szCs w:val="28"/>
        </w:rPr>
        <w:t>、本合同组成及解释先后顺序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1、本合同及其补充合同、变更协议；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2、询价文件（含澄清或者说明文件）；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3、询价响应文件（含澄清或者修改文件）；</w:t>
      </w:r>
    </w:p>
    <w:p>
      <w:pPr>
        <w:spacing w:line="360" w:lineRule="auto"/>
        <w:ind w:firstLine="280" w:firstLineChars="1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4、其他补充约定事项。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十、其他约定事项：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　　　　　　　　　　　  </w:t>
      </w: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</w:t>
      </w:r>
    </w:p>
    <w:p>
      <w:pPr>
        <w:snapToGrid w:val="0"/>
        <w:spacing w:line="300" w:lineRule="auto"/>
        <w:ind w:left="454" w:hanging="454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            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甲 方 ：                       乙 方：       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成交人（单位盖章）：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 月    日                  年   月    日                 </w:t>
      </w:r>
    </w:p>
    <w:p>
      <w:pPr>
        <w:pStyle w:val="7"/>
        <w:numPr>
          <w:ilvl w:val="0"/>
          <w:numId w:val="24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2" w:name="_Toc128984809"/>
      <w:bookmarkStart w:id="43" w:name="_Toc128058647"/>
      <w:bookmarkStart w:id="44" w:name="_Toc19036"/>
      <w:bookmarkStart w:id="45" w:name="_Toc25006"/>
      <w:r>
        <w:rPr>
          <w:rFonts w:hint="eastAsia"/>
          <w:sz w:val="32"/>
          <w:szCs w:val="32"/>
        </w:rPr>
        <w:t>询价响应文件格式</w:t>
      </w:r>
      <w:bookmarkEnd w:id="42"/>
      <w:bookmarkEnd w:id="43"/>
      <w:bookmarkEnd w:id="44"/>
      <w:bookmarkEnd w:id="45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8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6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6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号询价公告，我方决定参加贵方组织的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项目的采购活动。我方正式提交询价响应文件正本1份,副本2份，采用A4规格纸编制并装订成册。我方授权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（盖章） </w:t>
      </w: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7" w:name="_Toc12161"/>
      <w:bookmarkStart w:id="48" w:name="_Toc7098"/>
      <w:bookmarkStart w:id="49" w:name="_Toc54939202"/>
      <w:bookmarkStart w:id="50" w:name="_Toc128984810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7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8"/>
      <w:bookmarkEnd w:id="49"/>
      <w:bookmarkEnd w:id="50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项目名称：                               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大写：人民币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1" w:name="_Toc14554"/>
      <w:bookmarkStart w:id="52" w:name="_Toc8668"/>
      <w:bookmarkStart w:id="53" w:name="_Toc54939205"/>
      <w:bookmarkStart w:id="54" w:name="_Toc2920"/>
      <w:bookmarkStart w:id="55" w:name="_Toc128984812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1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2"/>
      <w:bookmarkEnd w:id="53"/>
      <w:bookmarkEnd w:id="54"/>
      <w:bookmarkEnd w:id="55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6" w:name="_Toc13353"/>
    </w:p>
    <w:bookmarkEnd w:id="56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7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7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7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8" w:name="_Toc32763"/>
      <w:r>
        <w:rPr>
          <w:rFonts w:hint="eastAsia"/>
          <w:sz w:val="32"/>
          <w:szCs w:val="32"/>
        </w:rPr>
        <w:t>附件：</w:t>
      </w:r>
      <w:bookmarkEnd w:id="58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9" w:type="first"/>
      <w:footerReference r:id="rId11" w:type="first"/>
      <w:headerReference r:id="rId8" w:type="even"/>
      <w:footerReference r:id="rId10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clear" w:pos="4153"/>
      </w:tabs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  <w:r>
      <w:rPr>
        <w:rFonts w:ascii="宋体" w:hAnsi="宋体" w:cs="宋体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auto"/>
      <w:rPr>
        <w:rFonts w:hint="default"/>
        <w:lang w:val="en-US" w:eastAsia="zh-CN"/>
      </w:rPr>
    </w:pPr>
    <w:r>
      <w:rPr>
        <w:rFonts w:hint="eastAsia" w:ascii="宋体" w:hAnsi="宋体" w:cs="宋体"/>
        <w:lang w:val="en-US" w:eastAsia="zh-CN"/>
      </w:rPr>
      <w:t xml:space="preserve"> 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hint="eastAsia" w:ascii="宋体" w:hAnsi="宋体" w:cs="宋体"/>
        <w:lang w:val="en-US" w:eastAsia="zh-CN"/>
      </w:rPr>
      <w:t xml:space="preserve"> 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7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8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5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9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3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4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abstractNum w:abstractNumId="22">
    <w:nsid w:val="3A245CC8"/>
    <w:multiLevelType w:val="singleLevel"/>
    <w:tmpl w:val="3A245CC8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3">
    <w:nsid w:val="50DFE1C0"/>
    <w:multiLevelType w:val="singleLevel"/>
    <w:tmpl w:val="50DFE1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310257F"/>
    <w:rsid w:val="043E6FFD"/>
    <w:rsid w:val="04E30F47"/>
    <w:rsid w:val="09823AC8"/>
    <w:rsid w:val="09A7170E"/>
    <w:rsid w:val="0BE066B8"/>
    <w:rsid w:val="0D584D4E"/>
    <w:rsid w:val="0E891C2A"/>
    <w:rsid w:val="0E9F5702"/>
    <w:rsid w:val="10D0572A"/>
    <w:rsid w:val="12836356"/>
    <w:rsid w:val="12906DE8"/>
    <w:rsid w:val="15730819"/>
    <w:rsid w:val="15F24541"/>
    <w:rsid w:val="1673643E"/>
    <w:rsid w:val="16C60966"/>
    <w:rsid w:val="17DB4062"/>
    <w:rsid w:val="189B3BAA"/>
    <w:rsid w:val="1AD677F0"/>
    <w:rsid w:val="1B7C4F70"/>
    <w:rsid w:val="1BE57B67"/>
    <w:rsid w:val="1DA02F18"/>
    <w:rsid w:val="200425B9"/>
    <w:rsid w:val="249D3364"/>
    <w:rsid w:val="25C437B8"/>
    <w:rsid w:val="26CC3A0A"/>
    <w:rsid w:val="26DD2603"/>
    <w:rsid w:val="28D87793"/>
    <w:rsid w:val="29FC3918"/>
    <w:rsid w:val="2B3E1F52"/>
    <w:rsid w:val="2B804CDE"/>
    <w:rsid w:val="2B830AD5"/>
    <w:rsid w:val="2B887F21"/>
    <w:rsid w:val="2B995E36"/>
    <w:rsid w:val="2C0B0A77"/>
    <w:rsid w:val="2CB325EF"/>
    <w:rsid w:val="2D256417"/>
    <w:rsid w:val="2ED0561B"/>
    <w:rsid w:val="3190087F"/>
    <w:rsid w:val="31C65E92"/>
    <w:rsid w:val="328451FC"/>
    <w:rsid w:val="37063B89"/>
    <w:rsid w:val="39056C1F"/>
    <w:rsid w:val="39066B45"/>
    <w:rsid w:val="39FB6DC1"/>
    <w:rsid w:val="3AB729E4"/>
    <w:rsid w:val="3F224D48"/>
    <w:rsid w:val="41842FCE"/>
    <w:rsid w:val="42311DB5"/>
    <w:rsid w:val="42420D50"/>
    <w:rsid w:val="43D812F9"/>
    <w:rsid w:val="477102EE"/>
    <w:rsid w:val="47797031"/>
    <w:rsid w:val="47B152BD"/>
    <w:rsid w:val="4861314E"/>
    <w:rsid w:val="4912240F"/>
    <w:rsid w:val="4A0B6A2C"/>
    <w:rsid w:val="4A2A0C2E"/>
    <w:rsid w:val="4AB421BB"/>
    <w:rsid w:val="4CEE7EE1"/>
    <w:rsid w:val="4D2D7D2E"/>
    <w:rsid w:val="4D416FA2"/>
    <w:rsid w:val="4D7B5A28"/>
    <w:rsid w:val="4DCC6ECE"/>
    <w:rsid w:val="519846FD"/>
    <w:rsid w:val="526A177C"/>
    <w:rsid w:val="545A251E"/>
    <w:rsid w:val="571D5670"/>
    <w:rsid w:val="57972209"/>
    <w:rsid w:val="57BB3785"/>
    <w:rsid w:val="57F0156E"/>
    <w:rsid w:val="5A4B3BBE"/>
    <w:rsid w:val="5B9C0624"/>
    <w:rsid w:val="5DAD3BA5"/>
    <w:rsid w:val="5F176F0F"/>
    <w:rsid w:val="5F6214EF"/>
    <w:rsid w:val="61055A2D"/>
    <w:rsid w:val="612A5DD7"/>
    <w:rsid w:val="61AE1FB8"/>
    <w:rsid w:val="645031BF"/>
    <w:rsid w:val="64637D0E"/>
    <w:rsid w:val="664B2332"/>
    <w:rsid w:val="684C1781"/>
    <w:rsid w:val="686E7AF0"/>
    <w:rsid w:val="694357F2"/>
    <w:rsid w:val="6B5C220A"/>
    <w:rsid w:val="6BB675C2"/>
    <w:rsid w:val="6CD428E3"/>
    <w:rsid w:val="6D024163"/>
    <w:rsid w:val="6DDC790E"/>
    <w:rsid w:val="707A6790"/>
    <w:rsid w:val="709F561A"/>
    <w:rsid w:val="70B06C00"/>
    <w:rsid w:val="74725D4A"/>
    <w:rsid w:val="768C0607"/>
    <w:rsid w:val="77B222A3"/>
    <w:rsid w:val="79323718"/>
    <w:rsid w:val="793A3DED"/>
    <w:rsid w:val="7A282B7D"/>
    <w:rsid w:val="7ADE1912"/>
    <w:rsid w:val="7B713A12"/>
    <w:rsid w:val="7C073314"/>
    <w:rsid w:val="7C585246"/>
    <w:rsid w:val="7C99023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6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7">
    <w:name w:val="heading 3"/>
    <w:basedOn w:val="1"/>
    <w:next w:val="8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9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10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11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12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3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4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6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7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8">
    <w:name w:val="List Number"/>
    <w:basedOn w:val="8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9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20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21">
    <w:name w:val="Document Map"/>
    <w:basedOn w:val="1"/>
    <w:qFormat/>
    <w:uiPriority w:val="0"/>
    <w:pPr>
      <w:shd w:val="clear" w:color="auto" w:fill="000080"/>
    </w:pPr>
  </w:style>
  <w:style w:type="paragraph" w:styleId="22">
    <w:name w:val="annotation text"/>
    <w:basedOn w:val="1"/>
    <w:link w:val="80"/>
    <w:qFormat/>
    <w:uiPriority w:val="0"/>
    <w:pPr>
      <w:jc w:val="left"/>
    </w:pPr>
  </w:style>
  <w:style w:type="paragraph" w:styleId="23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5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6">
    <w:name w:val="Body Text"/>
    <w:basedOn w:val="1"/>
    <w:next w:val="27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8">
    <w:name w:val="List 2"/>
    <w:basedOn w:val="1"/>
    <w:qFormat/>
    <w:uiPriority w:val="0"/>
    <w:pPr>
      <w:ind w:left="100" w:leftChars="200" w:hanging="200" w:hangingChars="200"/>
    </w:pPr>
  </w:style>
  <w:style w:type="paragraph" w:styleId="29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30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1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3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4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5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6">
    <w:name w:val="Date"/>
    <w:basedOn w:val="1"/>
    <w:next w:val="1"/>
    <w:qFormat/>
    <w:uiPriority w:val="0"/>
    <w:rPr>
      <w:sz w:val="44"/>
      <w:szCs w:val="20"/>
    </w:rPr>
  </w:style>
  <w:style w:type="paragraph" w:styleId="37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8">
    <w:name w:val="Balloon Text"/>
    <w:basedOn w:val="1"/>
    <w:link w:val="83"/>
    <w:qFormat/>
    <w:uiPriority w:val="0"/>
    <w:rPr>
      <w:sz w:val="18"/>
      <w:szCs w:val="18"/>
    </w:rPr>
  </w:style>
  <w:style w:type="paragraph" w:styleId="39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0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0"/>
    <w:pPr>
      <w:widowControl/>
      <w:jc w:val="left"/>
    </w:pPr>
    <w:rPr>
      <w:kern w:val="0"/>
      <w:sz w:val="24"/>
    </w:rPr>
  </w:style>
  <w:style w:type="paragraph" w:styleId="45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6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7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9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50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1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2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6">
    <w:name w:val="Body Text 2"/>
    <w:basedOn w:val="1"/>
    <w:qFormat/>
    <w:uiPriority w:val="0"/>
    <w:pPr>
      <w:spacing w:after="120" w:line="480" w:lineRule="auto"/>
    </w:pPr>
  </w:style>
  <w:style w:type="paragraph" w:styleId="57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8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60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1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2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3">
    <w:name w:val="annotation subject"/>
    <w:basedOn w:val="22"/>
    <w:next w:val="22"/>
    <w:qFormat/>
    <w:uiPriority w:val="0"/>
    <w:rPr>
      <w:b/>
      <w:bCs/>
    </w:rPr>
  </w:style>
  <w:style w:type="paragraph" w:styleId="64">
    <w:name w:val="Body Text First Indent"/>
    <w:basedOn w:val="26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5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6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7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22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3"/>
    <w:qFormat/>
    <w:uiPriority w:val="39"/>
    <w:rPr>
      <w:i/>
      <w:iCs/>
      <w:kern w:val="2"/>
    </w:rPr>
  </w:style>
  <w:style w:type="character" w:customStyle="1" w:styleId="82">
    <w:name w:val="纯文本 字符"/>
    <w:link w:val="34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8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9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4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9"/>
    <w:next w:val="64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6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4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10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7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7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9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5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3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11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8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8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7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6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6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6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7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6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5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5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2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7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7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7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6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4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6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12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50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6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10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9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6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4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8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9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6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9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6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6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5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19</Pages>
  <Words>6179</Words>
  <Characters>6551</Characters>
  <Lines>44</Lines>
  <Paragraphs>12</Paragraphs>
  <TotalTime>13</TotalTime>
  <ScaleCrop>false</ScaleCrop>
  <LinksUpToDate>false</LinksUpToDate>
  <CharactersWithSpaces>8356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2023-03-14T01:11:00Z</cp:lastPrinted>
  <dcterms:modified xsi:type="dcterms:W3CDTF">2023-03-14T02:23:15Z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9DCEDF2DE72C4766A19C090A4A3C519C</vt:lpwstr>
  </property>
</Properties>
</file>