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二次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1300"/>
        <w:gridCol w:w="1220"/>
        <w:gridCol w:w="460"/>
        <w:gridCol w:w="660"/>
        <w:gridCol w:w="880"/>
        <w:gridCol w:w="5910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5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总预算（万元）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  <w:jc w:val="center"/>
        </w:trPr>
        <w:tc>
          <w:tcPr>
            <w:tcW w:w="448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一次性使用鼻饲管（鼻胃肠管）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各型号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个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49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1000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鼻胃管由漏斗接头、聚氨酯导管、引导钢丝、引导钢丝手柄组成，按管径和管道长度不同分为若干规格。漏斗接头采用聚氨酯制成；聚氨酯导管采用聚氨酯（管道里面包裹了一条不透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X射线的线状物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）制成；引导钢丝采用德标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1.4401（X5CrNiMo17-12-2）不锈钢制成，表面涂有涂覆液医用硅胶；引导钢丝手柄采用聚酰胺（尼龙）制成。产品应无菌，采用环氧乙烷灭菌。适用于通过鼻饲进行肠内营养液的输送。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参考图片：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097280" cy="762000"/>
                  <wp:effectExtent l="0" t="0" r="762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204595" cy="732155"/>
                  <wp:effectExtent l="0" t="0" r="14605" b="1079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48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不可吸收缝线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（进口）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10-0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根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75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624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尼龙缝线由长链脂肪族聚合体尼龙6.6组成。线体颜色，适用于眼科软组织缝合。</w:t>
            </w:r>
            <w:bookmarkStart w:id="2" w:name="_GoBack"/>
            <w:bookmarkEnd w:id="2"/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48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-0</w:t>
            </w:r>
          </w:p>
        </w:tc>
        <w:tc>
          <w:tcPr>
            <w:tcW w:w="4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根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250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24</w:t>
            </w:r>
          </w:p>
        </w:tc>
        <w:tc>
          <w:tcPr>
            <w:tcW w:w="5910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无菌眼科缝线，聚丙烯缝线由一股聚丙烯合成的线，聚丙烯缝线的染色剂为酞青蓝(2)铜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787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5F81E3B"/>
    <w:rsid w:val="19761640"/>
    <w:rsid w:val="27953130"/>
    <w:rsid w:val="55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1886</Characters>
  <Lines>0</Lines>
  <Paragraphs>0</Paragraphs>
  <TotalTime>5</TotalTime>
  <ScaleCrop>false</ScaleCrop>
  <LinksUpToDate>false</LinksUpToDate>
  <CharactersWithSpaces>1978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2022-07-20T03:33:00Z</dcterms:created>
  <dc:creator>gyb1</dc:creator>
  <cp:lastModifiedBy>gyb1</cp:lastModifiedBy>
  <dcterms:modified xsi:type="dcterms:W3CDTF">2022-08-04T07:31:02Z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BF1FFCE3AAE146EDA893D704CDAF2A2A</vt:lpwstr>
  </property>
</Properties>
</file>